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F2" w:rsidRDefault="001B51F2" w:rsidP="00DD02D2">
      <w:pPr>
        <w:spacing w:line="276" w:lineRule="auto"/>
        <w:jc w:val="center"/>
        <w:rPr>
          <w:b/>
          <w:sz w:val="28"/>
          <w:szCs w:val="28"/>
          <w:lang w:val="en-US"/>
        </w:rPr>
      </w:pPr>
      <w:r w:rsidRPr="00DD02D2">
        <w:rPr>
          <w:b/>
          <w:sz w:val="28"/>
          <w:szCs w:val="28"/>
          <w:lang w:val="en-US"/>
        </w:rPr>
        <w:t>Enlightenment Fictions – Fictions of Enlightenment</w:t>
      </w:r>
    </w:p>
    <w:p w:rsidR="00DD02D2" w:rsidRPr="00DD02D2" w:rsidRDefault="00DD02D2" w:rsidP="000E4C94">
      <w:pPr>
        <w:jc w:val="center"/>
        <w:rPr>
          <w:b/>
          <w:sz w:val="28"/>
          <w:szCs w:val="28"/>
          <w:lang w:val="en-US"/>
        </w:rPr>
      </w:pPr>
    </w:p>
    <w:p w:rsidR="001B51F2" w:rsidRDefault="0043153C" w:rsidP="00DD02D2">
      <w:pPr>
        <w:rPr>
          <w:lang w:val="en-US"/>
        </w:rPr>
      </w:pPr>
      <w:r>
        <w:rPr>
          <w:lang w:val="en-US"/>
        </w:rPr>
        <w:t>The enlightenment is often regarded as a formative period for key concepts of modernity</w:t>
      </w:r>
      <w:r w:rsidR="001B51F2">
        <w:rPr>
          <w:lang w:val="en-US"/>
        </w:rPr>
        <w:t xml:space="preserve">: its emphasis on critical reasoning, freethinking, unbiased observation of nature, experiment, or epistemology bearing witness to this. The revolution in the media (cf. Clifford Siskin and William Warner, </w:t>
      </w:r>
      <w:r w:rsidR="001B51F2" w:rsidRPr="001B51F2">
        <w:rPr>
          <w:i/>
          <w:lang w:val="en-US"/>
        </w:rPr>
        <w:t>This is Enligh</w:t>
      </w:r>
      <w:r w:rsidR="006F6904">
        <w:rPr>
          <w:i/>
          <w:lang w:val="en-US"/>
        </w:rPr>
        <w:t>t</w:t>
      </w:r>
      <w:r w:rsidR="001B51F2" w:rsidRPr="001B51F2">
        <w:rPr>
          <w:i/>
          <w:lang w:val="en-US"/>
        </w:rPr>
        <w:t>enment</w:t>
      </w:r>
      <w:r w:rsidR="001B51F2">
        <w:rPr>
          <w:lang w:val="en-US"/>
        </w:rPr>
        <w:t xml:space="preserve">, Chicago 2010), </w:t>
      </w:r>
      <w:r w:rsidR="006F6904">
        <w:rPr>
          <w:lang w:val="en-US"/>
        </w:rPr>
        <w:t xml:space="preserve">techniques of </w:t>
      </w:r>
      <w:r w:rsidR="001B51F2">
        <w:rPr>
          <w:lang w:val="en-US"/>
        </w:rPr>
        <w:t xml:space="preserve">visual representation (John Bender and Michael </w:t>
      </w:r>
      <w:proofErr w:type="spellStart"/>
      <w:r w:rsidR="001B51F2">
        <w:rPr>
          <w:lang w:val="en-US"/>
        </w:rPr>
        <w:t>Marrinan</w:t>
      </w:r>
      <w:proofErr w:type="spellEnd"/>
      <w:r w:rsidR="001B51F2">
        <w:rPr>
          <w:lang w:val="en-US"/>
        </w:rPr>
        <w:t xml:space="preserve">, </w:t>
      </w:r>
      <w:r w:rsidR="001B51F2" w:rsidRPr="006F6904">
        <w:rPr>
          <w:i/>
          <w:lang w:val="en-US"/>
        </w:rPr>
        <w:t>The Culture of Diagram</w:t>
      </w:r>
      <w:r w:rsidR="001B51F2">
        <w:rPr>
          <w:lang w:val="en-US"/>
        </w:rPr>
        <w:t xml:space="preserve">, Stanford 2010), Spinoza’s philosophy (Jonathan Israel, </w:t>
      </w:r>
      <w:r w:rsidR="001B51F2" w:rsidRPr="006F6904">
        <w:rPr>
          <w:i/>
          <w:lang w:val="en-US"/>
        </w:rPr>
        <w:t>Racial Enlightenment</w:t>
      </w:r>
      <w:r w:rsidR="001B51F2">
        <w:rPr>
          <w:lang w:val="en-US"/>
        </w:rPr>
        <w:t xml:space="preserve">, </w:t>
      </w:r>
      <w:r w:rsidR="00091A0F">
        <w:rPr>
          <w:lang w:val="en-US"/>
        </w:rPr>
        <w:t>Oxford 2001),</w:t>
      </w:r>
      <w:r w:rsidR="001B51F2">
        <w:rPr>
          <w:lang w:val="en-US"/>
        </w:rPr>
        <w:t xml:space="preserve"> new departures in </w:t>
      </w:r>
      <w:r w:rsidR="006F6904">
        <w:rPr>
          <w:lang w:val="en-US"/>
        </w:rPr>
        <w:t>(political) economy, or universal human rights, to name only a few, have been selected as starting points from which to explore the significance of the period</w:t>
      </w:r>
      <w:r w:rsidR="001B51F2">
        <w:rPr>
          <w:lang w:val="en-US"/>
        </w:rPr>
        <w:t>.</w:t>
      </w:r>
      <w:r w:rsidR="006F6904">
        <w:rPr>
          <w:lang w:val="en-US"/>
        </w:rPr>
        <w:t xml:space="preserve"> On the other hand,</w:t>
      </w:r>
      <w:r w:rsidR="00C53F91">
        <w:t xml:space="preserve"> in the wake of </w:t>
      </w:r>
      <w:proofErr w:type="spellStart"/>
      <w:r w:rsidR="00C53F91">
        <w:t>Adorno</w:t>
      </w:r>
      <w:proofErr w:type="spellEnd"/>
      <w:r w:rsidR="00C53F91">
        <w:t>/</w:t>
      </w:r>
      <w:proofErr w:type="spellStart"/>
      <w:r w:rsidR="00C53F91">
        <w:t>Horkheimer's</w:t>
      </w:r>
      <w:proofErr w:type="spellEnd"/>
      <w:r w:rsidR="00C53F91">
        <w:t xml:space="preserve"> and Foucault's respective approaches towards the enligh</w:t>
      </w:r>
      <w:r w:rsidR="000E4C94">
        <w:softHyphen/>
      </w:r>
      <w:r w:rsidR="00C53F91">
        <w:t>ten</w:t>
      </w:r>
      <w:r w:rsidR="000E4C94">
        <w:softHyphen/>
      </w:r>
      <w:r w:rsidR="00C53F91">
        <w:t xml:space="preserve">ment, each scathingly critical of its dialectics in the masking and abuse of </w:t>
      </w:r>
      <w:r w:rsidR="00C53F91">
        <w:t>power, it became fashionable</w:t>
      </w:r>
      <w:r w:rsidR="00800A4C">
        <w:rPr>
          <w:lang w:val="en-US"/>
        </w:rPr>
        <w:t>, particularly for postmodernist theorists, to set up (and fight for) very different epistemological (and political) standards and agendas. The debate about the legacy of the enlightenment is very much alive, explicitly in the scholarly community, and implicitly in English departments, in our choice of</w:t>
      </w:r>
      <w:r w:rsidR="00A40020">
        <w:rPr>
          <w:lang w:val="en-US"/>
        </w:rPr>
        <w:t xml:space="preserve"> the</w:t>
      </w:r>
      <w:r w:rsidR="00800A4C">
        <w:rPr>
          <w:lang w:val="en-US"/>
        </w:rPr>
        <w:t xml:space="preserve"> texts, authors, and periods</w:t>
      </w:r>
      <w:r w:rsidR="00A40020">
        <w:rPr>
          <w:lang w:val="en-US"/>
        </w:rPr>
        <w:t xml:space="preserve"> we teach</w:t>
      </w:r>
      <w:r w:rsidR="00800A4C">
        <w:rPr>
          <w:lang w:val="en-US"/>
        </w:rPr>
        <w:t xml:space="preserve">. </w:t>
      </w:r>
      <w:r w:rsidR="00A40020">
        <w:rPr>
          <w:lang w:val="en-US"/>
        </w:rPr>
        <w:t xml:space="preserve">The time seems to have to come for an attempt to encourage a discussion on the direction British Eighteenth-Century Studies in Germany have taken in the last decades, and in which way they want to engage with them in the future. </w:t>
      </w:r>
    </w:p>
    <w:p w:rsidR="0043153C" w:rsidRDefault="0043153C" w:rsidP="00DD02D2">
      <w:pPr>
        <w:rPr>
          <w:lang w:val="en-US"/>
        </w:rPr>
      </w:pPr>
      <w:r>
        <w:rPr>
          <w:lang w:val="en-US"/>
        </w:rPr>
        <w:t>The aim of this session is twofold. Under the heading of "enlightenment fictions" we shall discuss aspects of 18</w:t>
      </w:r>
      <w:r w:rsidRPr="00655661">
        <w:rPr>
          <w:vertAlign w:val="superscript"/>
          <w:lang w:val="en-US"/>
        </w:rPr>
        <w:t>th</w:t>
      </w:r>
      <w:r>
        <w:rPr>
          <w:lang w:val="en-US"/>
        </w:rPr>
        <w:t xml:space="preserve"> century British literature that are epoch-making in every sense of the word (including phenomena illustrating the multiple cultural transfers of the age, both national and international, e.g. in translations, global mercenary relations, or in the development of a domestic publication industry, etc.). Another focus may be on works of </w:t>
      </w:r>
      <w:r w:rsidR="00A40020">
        <w:rPr>
          <w:lang w:val="en-US"/>
        </w:rPr>
        <w:t>20</w:t>
      </w:r>
      <w:r w:rsidR="00A40020" w:rsidRPr="00A40020">
        <w:rPr>
          <w:vertAlign w:val="superscript"/>
          <w:lang w:val="en-US"/>
        </w:rPr>
        <w:t>th</w:t>
      </w:r>
      <w:r w:rsidR="00A40020">
        <w:rPr>
          <w:lang w:val="en-US"/>
        </w:rPr>
        <w:t>/21</w:t>
      </w:r>
      <w:r w:rsidR="00A40020" w:rsidRPr="00A40020">
        <w:rPr>
          <w:vertAlign w:val="superscript"/>
          <w:lang w:val="en-US"/>
        </w:rPr>
        <w:t>st</w:t>
      </w:r>
      <w:r w:rsidR="00A40020">
        <w:rPr>
          <w:lang w:val="en-US"/>
        </w:rPr>
        <w:t xml:space="preserve"> century </w:t>
      </w:r>
      <w:r>
        <w:rPr>
          <w:lang w:val="en-US"/>
        </w:rPr>
        <w:t>fiction which represent images of 18</w:t>
      </w:r>
      <w:r w:rsidRPr="00655661">
        <w:rPr>
          <w:vertAlign w:val="superscript"/>
          <w:lang w:val="en-US"/>
        </w:rPr>
        <w:t>th</w:t>
      </w:r>
      <w:r>
        <w:rPr>
          <w:lang w:val="en-US"/>
        </w:rPr>
        <w:t xml:space="preserve"> century lives, society and culture. </w:t>
      </w:r>
    </w:p>
    <w:p w:rsidR="00A40020" w:rsidRDefault="0043153C" w:rsidP="00DD02D2">
      <w:pPr>
        <w:rPr>
          <w:lang w:val="en-US"/>
        </w:rPr>
      </w:pPr>
      <w:r>
        <w:rPr>
          <w:lang w:val="en-US"/>
        </w:rPr>
        <w:t>Under the reverse heading of "fictions of enlighten</w:t>
      </w:r>
      <w:r>
        <w:rPr>
          <w:lang w:val="en-US"/>
        </w:rPr>
        <w:softHyphen/>
        <w:t xml:space="preserve">ment" we </w:t>
      </w:r>
      <w:r w:rsidR="00A40020">
        <w:rPr>
          <w:lang w:val="en-US"/>
        </w:rPr>
        <w:t xml:space="preserve">want to encourage a discussion of </w:t>
      </w:r>
      <w:r>
        <w:rPr>
          <w:lang w:val="en-US"/>
        </w:rPr>
        <w:t>those narratives in criticism which develop, challenge, refute or confirm specific views of what the Enlightenment is and how we can</w:t>
      </w:r>
      <w:r w:rsidR="00A40020">
        <w:rPr>
          <w:lang w:val="en-US"/>
        </w:rPr>
        <w:t xml:space="preserve"> relate to it</w:t>
      </w:r>
      <w:r>
        <w:rPr>
          <w:lang w:val="en-US"/>
        </w:rPr>
        <w:t xml:space="preserve">. All these aspects work together in that they depend on, or illuminate each other. </w:t>
      </w:r>
    </w:p>
    <w:p w:rsidR="00DD02D2" w:rsidRDefault="00DD02D2" w:rsidP="00DD02D2">
      <w:pPr>
        <w:rPr>
          <w:lang w:val="en-US"/>
        </w:rPr>
      </w:pPr>
    </w:p>
    <w:p w:rsidR="0043153C" w:rsidRDefault="0043153C" w:rsidP="0043153C">
      <w:pPr>
        <w:spacing w:line="276" w:lineRule="auto"/>
        <w:rPr>
          <w:lang w:val="en-US"/>
        </w:rPr>
      </w:pPr>
      <w:r>
        <w:rPr>
          <w:lang w:val="en-US"/>
        </w:rPr>
        <w:t>Topics could include, but are not limited to</w:t>
      </w:r>
      <w:r w:rsidR="00DD02D2">
        <w:rPr>
          <w:lang w:val="en-US"/>
        </w:rPr>
        <w:t>:</w:t>
      </w:r>
    </w:p>
    <w:p w:rsidR="00DD02D2" w:rsidRDefault="00DD02D2" w:rsidP="000E4C94">
      <w:pPr>
        <w:rPr>
          <w:lang w:val="en-US"/>
        </w:rPr>
      </w:pPr>
    </w:p>
    <w:p w:rsidR="0043153C" w:rsidRDefault="0043153C" w:rsidP="0043153C">
      <w:pPr>
        <w:numPr>
          <w:ilvl w:val="0"/>
          <w:numId w:val="1"/>
        </w:numPr>
        <w:spacing w:line="276" w:lineRule="auto"/>
        <w:rPr>
          <w:lang w:val="en-US"/>
        </w:rPr>
      </w:pPr>
      <w:r>
        <w:rPr>
          <w:lang w:val="en-US"/>
        </w:rPr>
        <w:t>“Enlightenment” or “the Long Ei</w:t>
      </w:r>
      <w:r w:rsidR="00DD02D2">
        <w:rPr>
          <w:lang w:val="en-US"/>
        </w:rPr>
        <w:t xml:space="preserve">ghteenth Century”? Problems of </w:t>
      </w:r>
      <w:r w:rsidR="007F2F80">
        <w:rPr>
          <w:lang w:val="en-US"/>
        </w:rPr>
        <w:t xml:space="preserve">conceptualization and </w:t>
      </w:r>
      <w:r w:rsidR="00DD02D2">
        <w:rPr>
          <w:lang w:val="en-US"/>
        </w:rPr>
        <w:t>p</w:t>
      </w:r>
      <w:r>
        <w:rPr>
          <w:lang w:val="en-US"/>
        </w:rPr>
        <w:t>eriodization</w:t>
      </w:r>
    </w:p>
    <w:p w:rsidR="00A40020" w:rsidRDefault="00DD02D2" w:rsidP="0043153C">
      <w:pPr>
        <w:numPr>
          <w:ilvl w:val="0"/>
          <w:numId w:val="1"/>
        </w:numPr>
        <w:spacing w:line="276" w:lineRule="auto"/>
        <w:rPr>
          <w:lang w:val="en-US"/>
        </w:rPr>
      </w:pPr>
      <w:r>
        <w:rPr>
          <w:lang w:val="en-US"/>
        </w:rPr>
        <w:t>Making it n</w:t>
      </w:r>
      <w:r w:rsidR="00A40020">
        <w:rPr>
          <w:lang w:val="en-US"/>
        </w:rPr>
        <w:t>ew: innovative</w:t>
      </w:r>
      <w:r>
        <w:rPr>
          <w:lang w:val="en-US"/>
        </w:rPr>
        <w:t xml:space="preserve"> fiction in the 18</w:t>
      </w:r>
      <w:r w:rsidRPr="00DD02D2">
        <w:rPr>
          <w:vertAlign w:val="superscript"/>
          <w:lang w:val="en-US"/>
        </w:rPr>
        <w:t>th</w:t>
      </w:r>
      <w:r>
        <w:rPr>
          <w:lang w:val="en-US"/>
        </w:rPr>
        <w:t xml:space="preserve"> century</w:t>
      </w:r>
    </w:p>
    <w:p w:rsidR="0043153C" w:rsidRDefault="0043153C" w:rsidP="0043153C">
      <w:pPr>
        <w:numPr>
          <w:ilvl w:val="0"/>
          <w:numId w:val="1"/>
        </w:numPr>
        <w:spacing w:line="276" w:lineRule="auto"/>
        <w:rPr>
          <w:lang w:val="en-US"/>
        </w:rPr>
      </w:pPr>
      <w:r w:rsidRPr="006E7CEF">
        <w:rPr>
          <w:lang w:val="en-US"/>
        </w:rPr>
        <w:t xml:space="preserve">Modern </w:t>
      </w:r>
      <w:r w:rsidR="00DD02D2">
        <w:rPr>
          <w:lang w:val="en-US"/>
        </w:rPr>
        <w:t>f</w:t>
      </w:r>
      <w:r w:rsidRPr="006E7CEF">
        <w:rPr>
          <w:lang w:val="en-US"/>
        </w:rPr>
        <w:t>iction</w:t>
      </w:r>
      <w:r w:rsidR="00DD02D2">
        <w:rPr>
          <w:lang w:val="en-US"/>
        </w:rPr>
        <w:t>/poetry/p</w:t>
      </w:r>
      <w:r>
        <w:rPr>
          <w:lang w:val="en-US"/>
        </w:rPr>
        <w:t>lays</w:t>
      </w:r>
      <w:r w:rsidRPr="006E7CEF">
        <w:rPr>
          <w:lang w:val="en-US"/>
        </w:rPr>
        <w:t xml:space="preserve"> and</w:t>
      </w:r>
      <w:r>
        <w:rPr>
          <w:lang w:val="en-US"/>
        </w:rPr>
        <w:t>/as</w:t>
      </w:r>
      <w:r w:rsidRPr="006E7CEF">
        <w:rPr>
          <w:lang w:val="en-US"/>
        </w:rPr>
        <w:t xml:space="preserve"> </w:t>
      </w:r>
      <w:r w:rsidR="00DD02D2">
        <w:rPr>
          <w:lang w:val="en-US"/>
        </w:rPr>
        <w:t>i</w:t>
      </w:r>
      <w:r w:rsidRPr="006E7CEF">
        <w:rPr>
          <w:lang w:val="en-US"/>
        </w:rPr>
        <w:t xml:space="preserve">mages of the </w:t>
      </w:r>
      <w:r w:rsidR="00DD02D2">
        <w:rPr>
          <w:lang w:val="en-US"/>
        </w:rPr>
        <w:t>enlightenment</w:t>
      </w:r>
    </w:p>
    <w:p w:rsidR="0043153C" w:rsidRPr="006E7CEF" w:rsidRDefault="00DD02D2" w:rsidP="0043153C">
      <w:pPr>
        <w:numPr>
          <w:ilvl w:val="0"/>
          <w:numId w:val="1"/>
        </w:numPr>
        <w:spacing w:line="276" w:lineRule="auto"/>
        <w:rPr>
          <w:lang w:val="en-US"/>
        </w:rPr>
      </w:pPr>
      <w:r>
        <w:rPr>
          <w:lang w:val="en-US"/>
        </w:rPr>
        <w:t>Lives and opinions in the e</w:t>
      </w:r>
      <w:r w:rsidR="0043153C">
        <w:rPr>
          <w:lang w:val="en-US"/>
        </w:rPr>
        <w:t>nlightenment</w:t>
      </w:r>
    </w:p>
    <w:p w:rsidR="0043153C" w:rsidRDefault="00DD02D2" w:rsidP="0043153C">
      <w:pPr>
        <w:numPr>
          <w:ilvl w:val="0"/>
          <w:numId w:val="1"/>
        </w:numPr>
        <w:spacing w:line="276" w:lineRule="auto"/>
        <w:rPr>
          <w:lang w:val="en-US"/>
        </w:rPr>
      </w:pPr>
      <w:r>
        <w:rPr>
          <w:lang w:val="en-US"/>
        </w:rPr>
        <w:t>The rise of the c</w:t>
      </w:r>
      <w:r w:rsidR="0043153C">
        <w:rPr>
          <w:lang w:val="en-US"/>
        </w:rPr>
        <w:t>ritic</w:t>
      </w:r>
    </w:p>
    <w:p w:rsidR="00DD02D2" w:rsidRDefault="00DD02D2" w:rsidP="0043153C">
      <w:pPr>
        <w:numPr>
          <w:ilvl w:val="0"/>
          <w:numId w:val="1"/>
        </w:numPr>
        <w:spacing w:line="276" w:lineRule="auto"/>
        <w:rPr>
          <w:lang w:val="en-US"/>
        </w:rPr>
      </w:pPr>
      <w:r>
        <w:rPr>
          <w:lang w:val="en-US"/>
        </w:rPr>
        <w:t>Books, periodicals, pamphlets, and the literary market place</w:t>
      </w:r>
    </w:p>
    <w:p w:rsidR="0043153C" w:rsidRDefault="00DD02D2" w:rsidP="0043153C">
      <w:pPr>
        <w:numPr>
          <w:ilvl w:val="0"/>
          <w:numId w:val="1"/>
        </w:numPr>
        <w:spacing w:line="276" w:lineRule="auto"/>
        <w:rPr>
          <w:lang w:val="en-US"/>
        </w:rPr>
      </w:pPr>
      <w:r>
        <w:rPr>
          <w:lang w:val="en-US"/>
        </w:rPr>
        <w:t>Money and trade: values and e</w:t>
      </w:r>
      <w:r w:rsidR="0043153C">
        <w:rPr>
          <w:lang w:val="en-US"/>
        </w:rPr>
        <w:t>valuation</w:t>
      </w:r>
    </w:p>
    <w:p w:rsidR="0043153C" w:rsidRDefault="00DD02D2" w:rsidP="0043153C">
      <w:pPr>
        <w:numPr>
          <w:ilvl w:val="0"/>
          <w:numId w:val="1"/>
        </w:numPr>
        <w:spacing w:line="276" w:lineRule="auto"/>
        <w:rPr>
          <w:lang w:val="en-US"/>
        </w:rPr>
      </w:pPr>
      <w:r>
        <w:rPr>
          <w:lang w:val="en-US"/>
        </w:rPr>
        <w:t>Essays, ethics and e</w:t>
      </w:r>
      <w:r w:rsidR="0043153C">
        <w:rPr>
          <w:lang w:val="en-US"/>
        </w:rPr>
        <w:t>nlightenment</w:t>
      </w:r>
    </w:p>
    <w:p w:rsidR="007F2F80" w:rsidRPr="007F2F80" w:rsidRDefault="00DD02D2" w:rsidP="007F2F80">
      <w:pPr>
        <w:numPr>
          <w:ilvl w:val="0"/>
          <w:numId w:val="1"/>
        </w:numPr>
        <w:spacing w:line="276" w:lineRule="auto"/>
        <w:rPr>
          <w:lang w:val="en-US"/>
        </w:rPr>
      </w:pPr>
      <w:r>
        <w:rPr>
          <w:lang w:val="en-US"/>
        </w:rPr>
        <w:t>Cultural transfer and e</w:t>
      </w:r>
      <w:r w:rsidR="0043153C">
        <w:rPr>
          <w:lang w:val="en-US"/>
        </w:rPr>
        <w:t>nlightenment</w:t>
      </w:r>
      <w:r>
        <w:rPr>
          <w:lang w:val="en-US"/>
        </w:rPr>
        <w:t xml:space="preserve"> ideas</w:t>
      </w:r>
    </w:p>
    <w:p w:rsidR="0043153C" w:rsidRDefault="0043153C" w:rsidP="0043153C">
      <w:pPr>
        <w:numPr>
          <w:ilvl w:val="0"/>
          <w:numId w:val="1"/>
        </w:numPr>
        <w:spacing w:line="276" w:lineRule="auto"/>
        <w:rPr>
          <w:lang w:val="en-US"/>
        </w:rPr>
      </w:pPr>
      <w:r>
        <w:rPr>
          <w:lang w:val="en-US"/>
        </w:rPr>
        <w:t>English Studies an</w:t>
      </w:r>
      <w:r w:rsidR="00DD02D2">
        <w:rPr>
          <w:lang w:val="en-US"/>
        </w:rPr>
        <w:t>d the resistance to/of the eighteenth c</w:t>
      </w:r>
      <w:r>
        <w:rPr>
          <w:lang w:val="en-US"/>
        </w:rPr>
        <w:t>entury</w:t>
      </w:r>
    </w:p>
    <w:p w:rsidR="0043153C" w:rsidRPr="001F29FD" w:rsidRDefault="0043153C" w:rsidP="000E4C94">
      <w:pPr>
        <w:ind w:left="720"/>
        <w:rPr>
          <w:lang w:val="en-US"/>
        </w:rPr>
      </w:pPr>
      <w:r w:rsidDel="00CA5778">
        <w:rPr>
          <w:lang w:val="en-US"/>
        </w:rPr>
        <w:t xml:space="preserve"> </w:t>
      </w:r>
    </w:p>
    <w:p w:rsidR="0043153C" w:rsidRDefault="0043153C" w:rsidP="000E4C94">
      <w:pPr>
        <w:spacing w:line="276" w:lineRule="auto"/>
        <w:rPr>
          <w:lang w:val="en-US"/>
        </w:rPr>
      </w:pPr>
      <w:r>
        <w:rPr>
          <w:lang w:val="en-US"/>
        </w:rPr>
        <w:t>Please send proposals for papers before 31 August 2013 to:</w:t>
      </w:r>
    </w:p>
    <w:p w:rsidR="0043153C" w:rsidRDefault="0043153C" w:rsidP="0043153C">
      <w:pPr>
        <w:jc w:val="left"/>
        <w:rPr>
          <w:b/>
          <w:lang w:val="de-DE"/>
        </w:rPr>
      </w:pPr>
      <w:r w:rsidRPr="001F29FD">
        <w:rPr>
          <w:b/>
          <w:lang w:val="de-DE"/>
        </w:rPr>
        <w:t>Prof. Dr. Sabine Volk-Birke</w:t>
      </w:r>
    </w:p>
    <w:p w:rsidR="0043153C" w:rsidRDefault="0043153C" w:rsidP="0043153C">
      <w:pPr>
        <w:jc w:val="left"/>
        <w:rPr>
          <w:b/>
          <w:lang w:val="de-DE"/>
        </w:rPr>
      </w:pPr>
      <w:r>
        <w:rPr>
          <w:b/>
          <w:lang w:val="de-DE"/>
        </w:rPr>
        <w:t>Institut für Anglistik und Amerikanistik</w:t>
      </w:r>
    </w:p>
    <w:p w:rsidR="0043153C" w:rsidRDefault="0043153C" w:rsidP="0043153C">
      <w:pPr>
        <w:jc w:val="left"/>
        <w:rPr>
          <w:b/>
          <w:lang w:val="de-DE"/>
        </w:rPr>
      </w:pPr>
      <w:r>
        <w:rPr>
          <w:b/>
          <w:lang w:val="de-DE"/>
        </w:rPr>
        <w:t>Martin-Luther-Universität Halle-Wittenberg</w:t>
      </w:r>
    </w:p>
    <w:p w:rsidR="0043153C" w:rsidRDefault="0043153C" w:rsidP="0043153C">
      <w:pPr>
        <w:jc w:val="left"/>
        <w:rPr>
          <w:b/>
          <w:lang w:val="de-DE"/>
        </w:rPr>
      </w:pPr>
      <w:r>
        <w:rPr>
          <w:b/>
          <w:lang w:val="de-DE"/>
        </w:rPr>
        <w:t>06099 Halle</w:t>
      </w:r>
    </w:p>
    <w:p w:rsidR="00593E01" w:rsidRPr="0043153C" w:rsidRDefault="0043153C" w:rsidP="007F2F80">
      <w:pPr>
        <w:jc w:val="left"/>
        <w:rPr>
          <w:lang w:val="de-DE"/>
        </w:rPr>
      </w:pPr>
      <w:bookmarkStart w:id="0" w:name="_GoBack"/>
      <w:bookmarkEnd w:id="0"/>
      <w:r>
        <w:rPr>
          <w:b/>
          <w:lang w:val="de-DE"/>
        </w:rPr>
        <w:t>volk-birke@anglistik.uni-halle.de</w:t>
      </w:r>
    </w:p>
    <w:sectPr w:rsidR="00593E01" w:rsidRPr="0043153C" w:rsidSect="00A40020">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56E87"/>
    <w:multiLevelType w:val="hybridMultilevel"/>
    <w:tmpl w:val="B8D6A0B6"/>
    <w:lvl w:ilvl="0" w:tplc="F4D419A2">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3C"/>
    <w:rsid w:val="000034B5"/>
    <w:rsid w:val="0001706A"/>
    <w:rsid w:val="0002322F"/>
    <w:rsid w:val="00080C93"/>
    <w:rsid w:val="00091A0F"/>
    <w:rsid w:val="00092B05"/>
    <w:rsid w:val="000D4E00"/>
    <w:rsid w:val="000E4C94"/>
    <w:rsid w:val="000F0C79"/>
    <w:rsid w:val="000F4CC1"/>
    <w:rsid w:val="000F65E8"/>
    <w:rsid w:val="0010033C"/>
    <w:rsid w:val="00125F9F"/>
    <w:rsid w:val="001271BF"/>
    <w:rsid w:val="00145AED"/>
    <w:rsid w:val="00151A9C"/>
    <w:rsid w:val="001757D9"/>
    <w:rsid w:val="001776D0"/>
    <w:rsid w:val="00194655"/>
    <w:rsid w:val="001A35FA"/>
    <w:rsid w:val="001B4CBC"/>
    <w:rsid w:val="001B51F2"/>
    <w:rsid w:val="001C0FD5"/>
    <w:rsid w:val="001D3C74"/>
    <w:rsid w:val="001D5135"/>
    <w:rsid w:val="001D594F"/>
    <w:rsid w:val="001F2E69"/>
    <w:rsid w:val="001F4FBD"/>
    <w:rsid w:val="002006F1"/>
    <w:rsid w:val="002025B0"/>
    <w:rsid w:val="00241907"/>
    <w:rsid w:val="00264FC7"/>
    <w:rsid w:val="003106AF"/>
    <w:rsid w:val="0034558F"/>
    <w:rsid w:val="00356728"/>
    <w:rsid w:val="00362907"/>
    <w:rsid w:val="003948C8"/>
    <w:rsid w:val="003A327A"/>
    <w:rsid w:val="003A5211"/>
    <w:rsid w:val="003B351F"/>
    <w:rsid w:val="003B5F7B"/>
    <w:rsid w:val="003D3A7F"/>
    <w:rsid w:val="003D451A"/>
    <w:rsid w:val="003E664E"/>
    <w:rsid w:val="003F260B"/>
    <w:rsid w:val="00402D53"/>
    <w:rsid w:val="0043153C"/>
    <w:rsid w:val="00432974"/>
    <w:rsid w:val="00462740"/>
    <w:rsid w:val="004636E1"/>
    <w:rsid w:val="004931F1"/>
    <w:rsid w:val="004A6216"/>
    <w:rsid w:val="004B280A"/>
    <w:rsid w:val="004B5263"/>
    <w:rsid w:val="004F003E"/>
    <w:rsid w:val="004F0B0E"/>
    <w:rsid w:val="005001B5"/>
    <w:rsid w:val="00511F0C"/>
    <w:rsid w:val="00523945"/>
    <w:rsid w:val="00541EC7"/>
    <w:rsid w:val="0054335F"/>
    <w:rsid w:val="00553CFE"/>
    <w:rsid w:val="00555FBA"/>
    <w:rsid w:val="00591AF3"/>
    <w:rsid w:val="00593E01"/>
    <w:rsid w:val="005A1B8D"/>
    <w:rsid w:val="005D437F"/>
    <w:rsid w:val="005D58C3"/>
    <w:rsid w:val="005F4388"/>
    <w:rsid w:val="00623044"/>
    <w:rsid w:val="0063109F"/>
    <w:rsid w:val="006378CD"/>
    <w:rsid w:val="006837D6"/>
    <w:rsid w:val="006A1A9E"/>
    <w:rsid w:val="006A3F8B"/>
    <w:rsid w:val="006B61DC"/>
    <w:rsid w:val="006B6557"/>
    <w:rsid w:val="006F6904"/>
    <w:rsid w:val="00700E4B"/>
    <w:rsid w:val="00705512"/>
    <w:rsid w:val="00707CE4"/>
    <w:rsid w:val="00723692"/>
    <w:rsid w:val="00723895"/>
    <w:rsid w:val="007329AC"/>
    <w:rsid w:val="007516FD"/>
    <w:rsid w:val="0076190D"/>
    <w:rsid w:val="007A7B05"/>
    <w:rsid w:val="007B2429"/>
    <w:rsid w:val="007C02BF"/>
    <w:rsid w:val="007E07A5"/>
    <w:rsid w:val="007F216C"/>
    <w:rsid w:val="007F2F80"/>
    <w:rsid w:val="007F344A"/>
    <w:rsid w:val="007F4A4F"/>
    <w:rsid w:val="00800A4C"/>
    <w:rsid w:val="00814F5E"/>
    <w:rsid w:val="00874160"/>
    <w:rsid w:val="00884806"/>
    <w:rsid w:val="008A4BCC"/>
    <w:rsid w:val="008A6962"/>
    <w:rsid w:val="008D1EE5"/>
    <w:rsid w:val="008E2BF5"/>
    <w:rsid w:val="008F4386"/>
    <w:rsid w:val="00904B12"/>
    <w:rsid w:val="00920CF4"/>
    <w:rsid w:val="009746E1"/>
    <w:rsid w:val="00977BF5"/>
    <w:rsid w:val="009B34E1"/>
    <w:rsid w:val="009C7854"/>
    <w:rsid w:val="009D075A"/>
    <w:rsid w:val="009D5ABA"/>
    <w:rsid w:val="009F6628"/>
    <w:rsid w:val="00A13635"/>
    <w:rsid w:val="00A40020"/>
    <w:rsid w:val="00A56F48"/>
    <w:rsid w:val="00A57864"/>
    <w:rsid w:val="00A8566A"/>
    <w:rsid w:val="00AA7895"/>
    <w:rsid w:val="00AC0B3D"/>
    <w:rsid w:val="00AC266C"/>
    <w:rsid w:val="00B118C8"/>
    <w:rsid w:val="00B15522"/>
    <w:rsid w:val="00B4066B"/>
    <w:rsid w:val="00B66749"/>
    <w:rsid w:val="00B67340"/>
    <w:rsid w:val="00B71C39"/>
    <w:rsid w:val="00B7661F"/>
    <w:rsid w:val="00B8695E"/>
    <w:rsid w:val="00B9785A"/>
    <w:rsid w:val="00BA40C0"/>
    <w:rsid w:val="00BC7EA3"/>
    <w:rsid w:val="00BD7F6C"/>
    <w:rsid w:val="00BE6129"/>
    <w:rsid w:val="00BF185C"/>
    <w:rsid w:val="00C00AD9"/>
    <w:rsid w:val="00C41D03"/>
    <w:rsid w:val="00C53F91"/>
    <w:rsid w:val="00C55042"/>
    <w:rsid w:val="00C6076A"/>
    <w:rsid w:val="00C72C65"/>
    <w:rsid w:val="00C83E21"/>
    <w:rsid w:val="00CA0F55"/>
    <w:rsid w:val="00CB2772"/>
    <w:rsid w:val="00CD5068"/>
    <w:rsid w:val="00CE7070"/>
    <w:rsid w:val="00CF7054"/>
    <w:rsid w:val="00D15B0C"/>
    <w:rsid w:val="00D47929"/>
    <w:rsid w:val="00D72483"/>
    <w:rsid w:val="00D72BB5"/>
    <w:rsid w:val="00D84163"/>
    <w:rsid w:val="00D84818"/>
    <w:rsid w:val="00DD02D2"/>
    <w:rsid w:val="00DE1AD4"/>
    <w:rsid w:val="00DF1FBA"/>
    <w:rsid w:val="00E1218F"/>
    <w:rsid w:val="00E13032"/>
    <w:rsid w:val="00E16599"/>
    <w:rsid w:val="00E17727"/>
    <w:rsid w:val="00E22E92"/>
    <w:rsid w:val="00E26C1B"/>
    <w:rsid w:val="00E43AB8"/>
    <w:rsid w:val="00E67712"/>
    <w:rsid w:val="00E822EC"/>
    <w:rsid w:val="00E9214F"/>
    <w:rsid w:val="00E96402"/>
    <w:rsid w:val="00E96406"/>
    <w:rsid w:val="00E96DDC"/>
    <w:rsid w:val="00EA0AE1"/>
    <w:rsid w:val="00EA122F"/>
    <w:rsid w:val="00EB1EC3"/>
    <w:rsid w:val="00ED0062"/>
    <w:rsid w:val="00EF42D6"/>
    <w:rsid w:val="00F35499"/>
    <w:rsid w:val="00F60E09"/>
    <w:rsid w:val="00F81D56"/>
    <w:rsid w:val="00F96F84"/>
    <w:rsid w:val="00FB14B8"/>
    <w:rsid w:val="00FB76BC"/>
    <w:rsid w:val="00FD3B10"/>
    <w:rsid w:val="00FE56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153C"/>
    <w:pPr>
      <w:spacing w:line="240" w:lineRule="auto"/>
    </w:pPr>
    <w:rPr>
      <w:rFonts w:ascii="Times New Roman" w:eastAsia="Calibri" w:hAnsi="Times New Roman" w:cs="Times New Roman"/>
      <w:sz w:val="24"/>
      <w:szCs w:val="24"/>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43153C"/>
    <w:rPr>
      <w:sz w:val="16"/>
      <w:szCs w:val="16"/>
    </w:rPr>
  </w:style>
  <w:style w:type="paragraph" w:styleId="Kommentartext">
    <w:name w:val="annotation text"/>
    <w:basedOn w:val="Standard"/>
    <w:link w:val="KommentartextZchn"/>
    <w:uiPriority w:val="99"/>
    <w:semiHidden/>
    <w:unhideWhenUsed/>
    <w:rsid w:val="0043153C"/>
    <w:rPr>
      <w:sz w:val="20"/>
      <w:szCs w:val="20"/>
    </w:rPr>
  </w:style>
  <w:style w:type="character" w:customStyle="1" w:styleId="KommentartextZchn">
    <w:name w:val="Kommentartext Zchn"/>
    <w:basedOn w:val="Absatz-Standardschriftart"/>
    <w:link w:val="Kommentartext"/>
    <w:uiPriority w:val="99"/>
    <w:semiHidden/>
    <w:rsid w:val="0043153C"/>
    <w:rPr>
      <w:rFonts w:ascii="Times New Roman" w:eastAsia="Calibri" w:hAnsi="Times New Roman" w:cs="Times New Roman"/>
      <w:sz w:val="20"/>
      <w:szCs w:val="20"/>
      <w:lang w:val="en-GB" w:eastAsia="de-DE"/>
    </w:rPr>
  </w:style>
  <w:style w:type="paragraph" w:styleId="Sprechblasentext">
    <w:name w:val="Balloon Text"/>
    <w:basedOn w:val="Standard"/>
    <w:link w:val="SprechblasentextZchn"/>
    <w:uiPriority w:val="99"/>
    <w:semiHidden/>
    <w:unhideWhenUsed/>
    <w:rsid w:val="004315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153C"/>
    <w:rPr>
      <w:rFonts w:ascii="Tahoma" w:eastAsia="Calibri" w:hAnsi="Tahoma" w:cs="Tahoma"/>
      <w:sz w:val="16"/>
      <w:szCs w:val="16"/>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153C"/>
    <w:pPr>
      <w:spacing w:line="240" w:lineRule="auto"/>
    </w:pPr>
    <w:rPr>
      <w:rFonts w:ascii="Times New Roman" w:eastAsia="Calibri" w:hAnsi="Times New Roman" w:cs="Times New Roman"/>
      <w:sz w:val="24"/>
      <w:szCs w:val="24"/>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43153C"/>
    <w:rPr>
      <w:sz w:val="16"/>
      <w:szCs w:val="16"/>
    </w:rPr>
  </w:style>
  <w:style w:type="paragraph" w:styleId="Kommentartext">
    <w:name w:val="annotation text"/>
    <w:basedOn w:val="Standard"/>
    <w:link w:val="KommentartextZchn"/>
    <w:uiPriority w:val="99"/>
    <w:semiHidden/>
    <w:unhideWhenUsed/>
    <w:rsid w:val="0043153C"/>
    <w:rPr>
      <w:sz w:val="20"/>
      <w:szCs w:val="20"/>
    </w:rPr>
  </w:style>
  <w:style w:type="character" w:customStyle="1" w:styleId="KommentartextZchn">
    <w:name w:val="Kommentartext Zchn"/>
    <w:basedOn w:val="Absatz-Standardschriftart"/>
    <w:link w:val="Kommentartext"/>
    <w:uiPriority w:val="99"/>
    <w:semiHidden/>
    <w:rsid w:val="0043153C"/>
    <w:rPr>
      <w:rFonts w:ascii="Times New Roman" w:eastAsia="Calibri" w:hAnsi="Times New Roman" w:cs="Times New Roman"/>
      <w:sz w:val="20"/>
      <w:szCs w:val="20"/>
      <w:lang w:val="en-GB" w:eastAsia="de-DE"/>
    </w:rPr>
  </w:style>
  <w:style w:type="paragraph" w:styleId="Sprechblasentext">
    <w:name w:val="Balloon Text"/>
    <w:basedOn w:val="Standard"/>
    <w:link w:val="SprechblasentextZchn"/>
    <w:uiPriority w:val="99"/>
    <w:semiHidden/>
    <w:unhideWhenUsed/>
    <w:rsid w:val="004315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153C"/>
    <w:rPr>
      <w:rFonts w:ascii="Tahoma" w:eastAsia="Calibri" w:hAnsi="Tahoma" w:cs="Tahoma"/>
      <w:sz w:val="16"/>
      <w:szCs w:val="16"/>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2758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Volk-Birke</dc:creator>
  <cp:lastModifiedBy>Volk-Birke</cp:lastModifiedBy>
  <cp:revision>6</cp:revision>
  <dcterms:created xsi:type="dcterms:W3CDTF">2013-02-16T11:20:00Z</dcterms:created>
  <dcterms:modified xsi:type="dcterms:W3CDTF">2013-02-16T17:20:00Z</dcterms:modified>
</cp:coreProperties>
</file>